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Moorea, Society Islands, French Polynesia</w:t>
      </w:r>
    </w:p>
    <w:p>
      <w:pPr>
        <w:spacing w:after="60" w:before="0" w:lineRule="auto" w:line="240"/>
      </w:pPr>
      <w:r>
        <w:rPr>
          <w:rFonts w:ascii="Arial" w:hAnsi="Arial" w:cs="Arial"/>
          <w:b w:val="0"/>
          <w:i/>
          <w:color w:val="5B6470"/>
          <w:sz w:val="19"/>
        </w:rPr>
        <w:t>A heart-shaped volcanic island wrapped in electric-blue lagoon, just 17 km from Tahiti — where jagged basalt peaks overlook twin bays, rays glide beneath your snorkel, and a single mountain road connects it all.</w:t>
      </w:r>
    </w:p>
    <w:p>
      <w:pPr>
        <w:spacing w:after="40" w:before="0" w:lineRule="auto" w:line="240"/>
      </w:pPr>
      <w:r>
        <w:rPr>
          <w:rFonts w:ascii="Arial" w:hAnsi="Arial" w:cs="Arial"/>
          <w:b w:val="0"/>
          <w:i w:val="0"/>
          <w:color w:val="5B6470"/>
          <w:sz w:val="18"/>
        </w:rPr>
        <w:t>⚓ Tender port (no pier) · 🕒 Typical call: 7–9 hrs · 💵 CFP Franc (XPF) · 🗣️ French / Tahitian</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Tender into Cook's Bay</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~10 min to Maharepa village</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Snorkeling · Scenic drives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Belvedere Lookout &amp; lagoon rays</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 xml:space="preserve">$13–$40 USD — Taxis meet tender boats at the pier. Starting fare ~1,500 XPF ($13 USD), then ~130 XPF/km. Always agree on price before </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Lagoon Snorkeling with Rays &amp; Reef Sharks — </w:t>
      </w:r>
      <w:r>
        <w:rPr>
          <w:rFonts w:ascii="Arial" w:hAnsi="Arial" w:cs="Arial"/>
          <w:b w:val="0"/>
          <w:i w:val="0"/>
          <w:sz w:val="20"/>
        </w:rPr>
        <w:t>The most popular Moorea experience: wade or snorkel in shallow lagoon water alongside blacktip reef sharks and schools of…</w:t>
      </w:r>
    </w:p>
    <w:p>
      <w:pPr>
        <w:pStyle w:val="ListBullet"/>
        <w:spacing w:after="30" w:before="0" w:lineRule="auto" w:line="240"/>
      </w:pPr>
      <w:r>
        <w:rPr>
          <w:rFonts w:ascii="Arial" w:hAnsi="Arial" w:cs="Arial"/>
          <w:b/>
          <w:i w:val="0"/>
          <w:sz w:val="20"/>
        </w:rPr>
        <w:t xml:space="preserve">Belvedere Lookout (Belvédère) — </w:t>
      </w:r>
      <w:r>
        <w:rPr>
          <w:rFonts w:ascii="Arial" w:hAnsi="Arial" w:cs="Arial"/>
          <w:b w:val="0"/>
          <w:i w:val="0"/>
          <w:sz w:val="20"/>
        </w:rPr>
        <w:t>Drive or ride up to the Belvedere viewpoint — also called Magic Mountain — for a panoramic sweep over both Cook's Bay and Opunohu…</w:t>
      </w:r>
    </w:p>
    <w:p>
      <w:pPr>
        <w:pStyle w:val="ListBullet"/>
        <w:spacing w:after="30" w:before="0" w:lineRule="auto" w:line="240"/>
      </w:pPr>
      <w:r>
        <w:rPr>
          <w:rFonts w:ascii="Arial" w:hAnsi="Arial" w:cs="Arial"/>
          <w:b/>
          <w:i w:val="0"/>
          <w:sz w:val="20"/>
        </w:rPr>
        <w:t xml:space="preserve">ATV / 4x4 Mountain Tour — </w:t>
      </w:r>
      <w:r>
        <w:rPr>
          <w:rFonts w:ascii="Arial" w:hAnsi="Arial" w:cs="Arial"/>
          <w:b w:val="0"/>
          <w:i w:val="0"/>
          <w:sz w:val="20"/>
        </w:rPr>
        <w:t>Tear up mountain trails through pineapple plantations, jungle valleys, and viewpoints in a 4x4 or on an ATV.</w:t>
      </w:r>
    </w:p>
    <w:p>
      <w:pPr>
        <w:pStyle w:val="ListBullet"/>
        <w:spacing w:after="30" w:before="0" w:lineRule="auto" w:line="240"/>
      </w:pPr>
      <w:r>
        <w:rPr>
          <w:rFonts w:ascii="Arial" w:hAnsi="Arial" w:cs="Arial"/>
          <w:b/>
          <w:i w:val="0"/>
          <w:sz w:val="20"/>
        </w:rPr>
        <w:t xml:space="preserve">Tiki Village Cultural Center — </w:t>
      </w:r>
      <w:r>
        <w:rPr>
          <w:rFonts w:ascii="Arial" w:hAnsi="Arial" w:cs="Arial"/>
          <w:b w:val="0"/>
          <w:i w:val="0"/>
          <w:sz w:val="20"/>
        </w:rPr>
        <w:t>A re-created traditional Polynesian village on the lagoon edge near Haapiti, demonstrating tattooing, weaving, dance, and…</w:t>
      </w:r>
    </w:p>
    <w:p>
      <w:pPr>
        <w:pStyle w:val="ListBullet"/>
        <w:spacing w:after="30" w:before="0" w:lineRule="auto" w:line="240"/>
      </w:pPr>
      <w:r>
        <w:rPr>
          <w:rFonts w:ascii="Arial" w:hAnsi="Arial" w:cs="Arial"/>
          <w:b/>
          <w:i w:val="0"/>
          <w:sz w:val="20"/>
        </w:rPr>
        <w:t xml:space="preserve">Temae Beach — </w:t>
      </w:r>
      <w:r>
        <w:rPr>
          <w:rFonts w:ascii="Arial" w:hAnsi="Arial" w:cs="Arial"/>
          <w:b w:val="0"/>
          <w:i w:val="0"/>
          <w:sz w:val="20"/>
        </w:rPr>
        <w:t>Moorea's best public white-sand beach, on the northeast shore near the airport.</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Cook's Bay Waterfront Stroll: </w:t>
      </w:r>
      <w:r>
        <w:rPr>
          <w:rFonts w:ascii="Arial" w:hAnsi="Arial" w:cs="Arial"/>
          <w:b w:val="0"/>
          <w:i w:val="0"/>
          <w:sz w:val="20"/>
        </w:rPr>
        <w:t>~2 km · 45 min · easy — From the tender dock, walk the flat coastal road along Cook's Bay past small shops, the Moorea…</w:t>
      </w:r>
    </w:p>
    <w:p>
      <w:pPr>
        <w:pStyle w:val="ListBullet"/>
        <w:spacing w:after="30" w:before="0" w:lineRule="auto" w:line="240"/>
      </w:pPr>
      <w:r>
        <w:rPr>
          <w:rFonts w:ascii="Arial" w:hAnsi="Arial" w:cs="Arial"/>
          <w:b/>
          <w:i w:val="0"/>
          <w:sz w:val="20"/>
        </w:rPr>
        <w:t xml:space="preserve">Opunohu Valley Overlook Trail: </w:t>
      </w:r>
      <w:r>
        <w:rPr>
          <w:rFonts w:ascii="Arial" w:hAnsi="Arial" w:cs="Arial"/>
          <w:b w:val="0"/>
          <w:i w:val="0"/>
          <w:sz w:val="20"/>
        </w:rPr>
        <w:t>~1 km · 30 min · easy–moderate — A short walk from the Belvedere parking area along a viewpoint path gives unobstructed views over…</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Apr</w:t>
            </w:r>
          </w:p>
        </w:tc>
        <w:tc>
          <w:tcPr>
            <w:tcW w:type="dxa" w:w="2628"/>
          </w:tcPr>
          <w:p>
            <w:pPr>
              <w:jc w:val="center"/>
            </w:pPr>
            <w:r>
              <w:rPr>
                <w:rFonts w:ascii="Arial" w:hAnsi="Arial" w:cs="Arial"/>
                <w:b w:val="0"/>
                <w:i w:val="0"/>
                <w:sz w:val="18"/>
              </w:rPr>
              <w:t>81</w:t>
            </w:r>
          </w:p>
        </w:tc>
        <w:tc>
          <w:tcPr>
            <w:tcW w:type="dxa" w:w="2628"/>
          </w:tcPr>
          <w:p>
            <w:pPr>
              <w:jc w:val="center"/>
            </w:pPr>
            <w:r>
              <w:rPr>
                <w:rFonts w:ascii="Arial" w:hAnsi="Arial" w:cs="Arial"/>
                <w:b w:val="0"/>
                <w:i w:val="0"/>
                <w:sz w:val="18"/>
              </w:rPr>
              <w:t>77</w:t>
            </w:r>
          </w:p>
        </w:tc>
        <w:tc>
          <w:tcPr>
            <w:tcW w:type="dxa" w:w="2628"/>
          </w:tcPr>
          <w:p>
            <w:pPr>
              <w:jc w:val="center"/>
            </w:pPr>
            <w:r>
              <w:rPr>
                <w:rFonts w:ascii="Arial" w:hAnsi="Arial" w:cs="Arial"/>
                <w:b w:val="0"/>
                <w:i w:val="0"/>
                <w:sz w:val="18"/>
              </w:rPr>
              <w:t>20</w:t>
            </w:r>
          </w:p>
        </w:tc>
      </w:tr>
      <w:tr>
        <w:tc>
          <w:tcPr>
            <w:tcW w:type="dxa" w:w="2628"/>
          </w:tcPr>
          <w:p>
            <w:pPr>
              <w:jc w:val="center"/>
            </w:pPr>
            <w:r>
              <w:rPr>
                <w:rFonts w:ascii="Arial" w:hAnsi="Arial" w:cs="Arial"/>
                <w:b w:val="0"/>
                <w:i w:val="0"/>
                <w:sz w:val="18"/>
              </w:rPr>
              <w:t>Jun</w:t>
            </w:r>
          </w:p>
        </w:tc>
        <w:tc>
          <w:tcPr>
            <w:tcW w:type="dxa" w:w="2628"/>
          </w:tcPr>
          <w:p>
            <w:pPr>
              <w:jc w:val="center"/>
            </w:pPr>
            <w:r>
              <w:rPr>
                <w:rFonts w:ascii="Arial" w:hAnsi="Arial" w:cs="Arial"/>
                <w:b w:val="0"/>
                <w:i w:val="0"/>
                <w:sz w:val="18"/>
              </w:rPr>
              <w:t>79</w:t>
            </w:r>
          </w:p>
        </w:tc>
        <w:tc>
          <w:tcPr>
            <w:tcW w:type="dxa" w:w="2628"/>
          </w:tcPr>
          <w:p>
            <w:pPr>
              <w:jc w:val="center"/>
            </w:pPr>
            <w:r>
              <w:rPr>
                <w:rFonts w:ascii="Arial" w:hAnsi="Arial" w:cs="Arial"/>
                <w:b w:val="0"/>
                <w:i w:val="0"/>
                <w:sz w:val="18"/>
              </w:rPr>
              <w:t>75</w:t>
            </w:r>
          </w:p>
        </w:tc>
        <w:tc>
          <w:tcPr>
            <w:tcW w:type="dxa" w:w="2628"/>
          </w:tcPr>
          <w:p>
            <w:pPr>
              <w:jc w:val="center"/>
            </w:pPr>
            <w:r>
              <w:rPr>
                <w:rFonts w:ascii="Arial" w:hAnsi="Arial" w:cs="Arial"/>
                <w:b w:val="0"/>
                <w:i w:val="0"/>
                <w:sz w:val="18"/>
              </w:rPr>
              <w:t>15</w:t>
            </w:r>
          </w:p>
        </w:tc>
      </w:tr>
      <w:tr>
        <w:tc>
          <w:tcPr>
            <w:tcW w:type="dxa" w:w="2628"/>
          </w:tcPr>
          <w:p>
            <w:pPr>
              <w:jc w:val="center"/>
            </w:pPr>
            <w:r>
              <w:rPr>
                <w:rFonts w:ascii="Arial" w:hAnsi="Arial" w:cs="Arial"/>
                <w:b w:val="0"/>
                <w:i w:val="0"/>
                <w:sz w:val="18"/>
              </w:rPr>
              <w:t>Aug</w:t>
            </w:r>
          </w:p>
        </w:tc>
        <w:tc>
          <w:tcPr>
            <w:tcW w:type="dxa" w:w="2628"/>
          </w:tcPr>
          <w:p>
            <w:pPr>
              <w:jc w:val="center"/>
            </w:pPr>
            <w:r>
              <w:rPr>
                <w:rFonts w:ascii="Arial" w:hAnsi="Arial" w:cs="Arial"/>
                <w:b w:val="0"/>
                <w:i w:val="0"/>
                <w:sz w:val="18"/>
              </w:rPr>
              <w:t>78</w:t>
            </w:r>
          </w:p>
        </w:tc>
        <w:tc>
          <w:tcPr>
            <w:tcW w:type="dxa" w:w="2628"/>
          </w:tcPr>
          <w:p>
            <w:pPr>
              <w:jc w:val="center"/>
            </w:pPr>
            <w:r>
              <w:rPr>
                <w:rFonts w:ascii="Arial" w:hAnsi="Arial" w:cs="Arial"/>
                <w:b w:val="0"/>
                <w:i w:val="0"/>
                <w:sz w:val="18"/>
              </w:rPr>
              <w:t>73</w:t>
            </w:r>
          </w:p>
        </w:tc>
        <w:tc>
          <w:tcPr>
            <w:tcW w:type="dxa" w:w="2628"/>
          </w:tcPr>
          <w:p>
            <w:pPr>
              <w:jc w:val="center"/>
            </w:pPr>
            <w:r>
              <w:rPr>
                <w:rFonts w:ascii="Arial" w:hAnsi="Arial" w:cs="Arial"/>
                <w:b w:val="0"/>
                <w:i w:val="0"/>
                <w:sz w:val="18"/>
              </w:rPr>
              <w:t>13</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78</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13</w:t>
            </w:r>
          </w:p>
        </w:tc>
      </w:tr>
      <w:tr>
        <w:tc>
          <w:tcPr>
            <w:tcW w:type="dxa" w:w="2628"/>
          </w:tcPr>
          <w:p>
            <w:pPr>
              <w:jc w:val="center"/>
            </w:pPr>
            <w:r>
              <w:rPr>
                <w:rFonts w:ascii="Arial" w:hAnsi="Arial" w:cs="Arial"/>
                <w:b w:val="0"/>
                <w:i w:val="0"/>
                <w:sz w:val="18"/>
              </w:rPr>
              <w:t>Oct</w:t>
            </w:r>
          </w:p>
        </w:tc>
        <w:tc>
          <w:tcPr>
            <w:tcW w:type="dxa" w:w="2628"/>
          </w:tcPr>
          <w:p>
            <w:pPr>
              <w:jc w:val="center"/>
            </w:pPr>
            <w:r>
              <w:rPr>
                <w:rFonts w:ascii="Arial" w:hAnsi="Arial" w:cs="Arial"/>
                <w:b w:val="0"/>
                <w:i w:val="0"/>
                <w:sz w:val="18"/>
              </w:rPr>
              <w:t>79</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16</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Apr 6:08AM–5:49PM · Jun 6:27AM–5:32PM · Aug 6:18AM–5:49PM · Sep 5:54AM–5:54PM · Oct 5:30AM–5:59PM</w:t>
      </w:r>
    </w:p>
    <w:p>
      <w:pPr>
        <w:spacing w:after="40" w:before="140" w:lineRule="auto" w:line="240"/>
        <w:pBdr>
          <w:bottom w:val="single" w:sz="6" w:space="1" w:color="b5392f"/>
        </w:pBdr>
      </w:pPr>
      <w:r>
        <w:rPr>
          <w:rFonts w:ascii="Arial" w:hAnsi="Arial" w:cs="Arial"/>
          <w:b/>
          <w:i w:val="0"/>
          <w:color w:val="B5392F"/>
          <w:sz w:val="21"/>
        </w:rPr>
        <w:t>KNOW BEFORE YOU GO</w:t>
      </w:r>
    </w:p>
    <w:p>
      <w:pPr>
        <w:pStyle w:val="ListBullet"/>
        <w:spacing w:after="30" w:before="0" w:lineRule="auto" w:line="240"/>
      </w:pPr>
      <w:r>
        <w:rPr>
          <w:rFonts w:ascii="Arial" w:hAnsi="Arial" w:cs="Arial"/>
          <w:b w:val="0"/>
          <w:i w:val="0"/>
          <w:sz w:val="20"/>
        </w:rPr>
        <w:t>Tender lines build fast. Independent travelers should head to the tender dock early in the morning. If the ship issues tickets, collect yours as soon as…</w:t>
      </w:r>
    </w:p>
    <w:p>
      <w:pPr>
        <w:pStyle w:val="ListBullet"/>
        <w:spacing w:after="30" w:before="0" w:lineRule="auto" w:line="240"/>
      </w:pPr>
      <w:r>
        <w:rPr>
          <w:rFonts w:ascii="Arial" w:hAnsi="Arial" w:cs="Arial"/>
          <w:b w:val="0"/>
          <w:i w:val="0"/>
          <w:sz w:val="20"/>
        </w:rPr>
        <w:t>Rent a car or scooter at the dock. Rental agencies meet tenders; the RN1 coastal road is easy to navigate and lets you hit Belvedere, Temae Beach, and the…</w:t>
      </w:r>
    </w:p>
    <w:p>
      <w:pPr>
        <w:pStyle w:val="ListBullet"/>
        <w:spacing w:after="30" w:before="0" w:lineRule="auto" w:line="240"/>
      </w:pPr>
      <w:r>
        <w:rPr>
          <w:rFonts w:ascii="Arial" w:hAnsi="Arial" w:cs="Arial"/>
          <w:b w:val="0"/>
          <w:i w:val="0"/>
          <w:sz w:val="20"/>
        </w:rPr>
        <w:t>Bring cash in XPF. The CFP franc is the local currency. Some vendors accept euros or USD but at poor rates. ATMs exist in Maharepa but can run out on busy ship…</w:t>
      </w:r>
    </w:p>
    <w:p>
      <w:pPr>
        <w:spacing w:after="40" w:before="120" w:lineRule="auto" w:line="240"/>
      </w:pPr>
      <w:r>
        <w:rPr>
          <w:rFonts w:ascii="Arial" w:hAnsi="Arial" w:cs="Arial"/>
          <w:b w:val="0"/>
          <w:i w:val="0"/>
          <w:color w:val="5B6470"/>
          <w:sz w:val="16"/>
        </w:rPr>
        <w:t>cruiseports.org/moorea · Confirm terminal &amp; all-aboard time with your ship</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