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Båtsfjord, Finnmark, Norway</w:t>
      </w:r>
    </w:p>
    <w:p>
      <w:pPr>
        <w:spacing w:after="60" w:before="0" w:lineRule="auto" w:line="240"/>
      </w:pPr>
      <w:r>
        <w:rPr>
          <w:rFonts w:ascii="Arial" w:hAnsi="Arial" w:cs="Arial"/>
          <w:b w:val="0"/>
          <w:i/>
          <w:color w:val="5B6470"/>
          <w:sz w:val="19"/>
        </w:rPr>
        <w:t>One of Norway's most productive fishing harbors, Båtsfjord sits on the wild Varanger Peninsula where seabird cliffs shelter thousands of puffins and gannets, king crabs roam the cold seabed, and the midnight sun paints the tundra gold.</w:t>
      </w:r>
    </w:p>
    <w:p>
      <w:pPr>
        <w:spacing w:after="40" w:before="0" w:lineRule="auto" w:line="240"/>
      </w:pPr>
      <w:r>
        <w:rPr>
          <w:rFonts w:ascii="Arial" w:hAnsi="Arial" w:cs="Arial"/>
          <w:b w:val="0"/>
          <w:i w:val="0"/>
          <w:color w:val="5B6470"/>
          <w:sz w:val="18"/>
        </w:rPr>
        <w:t>⚓ Pier (central quay) · 🕒 Typical call: 5–8 hrs · 💵 Norwegian Krone (NOK) · 🗣️ Norwegian · 🐦 World-class birdwatching</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Ships berth at the central quay — village center is a 5-min walk</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Birdwatching, king crab safaris, Arctic hiking, fishing heritage</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RIB boat tour to Syltefjordstauran bird cliffs (one of Norway's largest)</w:t>
      </w:r>
    </w:p>
    <w:p>
      <w:pPr>
        <w:pStyle w:val="ListBullet"/>
        <w:spacing w:after="30" w:before="0" w:lineRule="auto" w:line="240"/>
      </w:pPr>
      <w:r>
        <w:rPr>
          <w:rFonts w:ascii="Arial" w:hAnsi="Arial" w:cs="Arial"/>
          <w:b/>
          <w:i w:val="0"/>
          <w:sz w:val="20"/>
        </w:rPr>
        <w:t xml:space="preserve">Season Note: </w:t>
      </w:r>
      <w:r>
        <w:rPr>
          <w:rFonts w:ascii="Arial" w:hAnsi="Arial" w:cs="Arial"/>
          <w:b w:val="0"/>
          <w:i w:val="0"/>
          <w:sz w:val="20"/>
        </w:rPr>
        <w:t>Most cruise calls May–Aug; Midnight Sun from late May; Northern Lights in winter</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170–190 NOK (~$16–18 USD) — Båtsfjord Taxisentral serves the town. The port is very close to the village center, so most fares are short. Pre-arrang</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Syltefjordstauran Bird Cliff RIB Tour — </w:t>
      </w:r>
      <w:r>
        <w:rPr>
          <w:rFonts w:ascii="Arial" w:hAnsi="Arial" w:cs="Arial"/>
          <w:b w:val="0"/>
          <w:i w:val="0"/>
          <w:sz w:val="20"/>
        </w:rPr>
        <w:t>One of Norway's largest bird cliffs stretches 3 km along the coast and rises 200 m, hosting vast colonies of kittiwakes, gannets…</w:t>
      </w:r>
    </w:p>
    <w:p>
      <w:pPr>
        <w:pStyle w:val="ListBullet"/>
        <w:spacing w:after="30" w:before="0" w:lineRule="auto" w:line="240"/>
      </w:pPr>
      <w:r>
        <w:rPr>
          <w:rFonts w:ascii="Arial" w:hAnsi="Arial" w:cs="Arial"/>
          <w:b/>
          <w:i w:val="0"/>
          <w:sz w:val="20"/>
        </w:rPr>
        <w:t xml:space="preserve">King Crab Safari — </w:t>
      </w:r>
      <w:r>
        <w:rPr>
          <w:rFonts w:ascii="Arial" w:hAnsi="Arial" w:cs="Arial"/>
          <w:b w:val="0"/>
          <w:i w:val="0"/>
          <w:sz w:val="20"/>
        </w:rPr>
        <w:t>Båtsfjord sits at the heart of Norway's Red King Crab grounds.</w:t>
      </w:r>
    </w:p>
    <w:p>
      <w:pPr>
        <w:pStyle w:val="ListBullet"/>
        <w:spacing w:after="30" w:before="0" w:lineRule="auto" w:line="240"/>
      </w:pPr>
      <w:r>
        <w:rPr>
          <w:rFonts w:ascii="Arial" w:hAnsi="Arial" w:cs="Arial"/>
          <w:b/>
          <w:i w:val="0"/>
          <w:sz w:val="20"/>
        </w:rPr>
        <w:t xml:space="preserve">Hamningberg Historic Fishing Village — </w:t>
      </w:r>
      <w:r>
        <w:rPr>
          <w:rFonts w:ascii="Arial" w:hAnsi="Arial" w:cs="Arial"/>
          <w:b w:val="0"/>
          <w:i w:val="0"/>
          <w:sz w:val="20"/>
        </w:rPr>
        <w:t>A rare survivor of WWII — Hamningberg's 19th-century wooden buildings were left standing when the village escaped the wartime…</w:t>
      </w:r>
    </w:p>
    <w:p>
      <w:pPr>
        <w:pStyle w:val="ListBullet"/>
        <w:spacing w:after="30" w:before="0" w:lineRule="auto" w:line="240"/>
      </w:pPr>
      <w:r>
        <w:rPr>
          <w:rFonts w:ascii="Arial" w:hAnsi="Arial" w:cs="Arial"/>
          <w:b/>
          <w:i w:val="0"/>
          <w:sz w:val="20"/>
        </w:rPr>
        <w:t xml:space="preserve">Arctic Tundra Hike — Skrovnes &amp; Veines — </w:t>
      </w:r>
      <w:r>
        <w:rPr>
          <w:rFonts w:ascii="Arial" w:hAnsi="Arial" w:cs="Arial"/>
          <w:b w:val="0"/>
          <w:i w:val="0"/>
          <w:sz w:val="20"/>
        </w:rPr>
        <w:t>Short walks from the village reach the Skrovnes Lighthouse trail bird hide and the Veines Peninsula, where the ruins of a German…</w:t>
      </w:r>
    </w:p>
    <w:p>
      <w:pPr>
        <w:pStyle w:val="ListBullet"/>
        <w:spacing w:after="30" w:before="0" w:lineRule="auto" w:line="240"/>
      </w:pPr>
      <w:r>
        <w:rPr>
          <w:rFonts w:ascii="Arial" w:hAnsi="Arial" w:cs="Arial"/>
          <w:b/>
          <w:i w:val="0"/>
          <w:sz w:val="20"/>
        </w:rPr>
        <w:t xml:space="preserve">Harbour Walk &amp; Fishing Industry — </w:t>
      </w:r>
      <w:r>
        <w:rPr>
          <w:rFonts w:ascii="Arial" w:hAnsi="Arial" w:cs="Arial"/>
          <w:b w:val="0"/>
          <w:i w:val="0"/>
          <w:sz w:val="20"/>
        </w:rPr>
        <w:t>Stroll along the working harbour to see fish processing plants in action, local murals celebrating Båtsfjord's seafaring…</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Harbour &amp; Church Stroll: </w:t>
      </w:r>
      <w:r>
        <w:rPr>
          <w:rFonts w:ascii="Arial" w:hAnsi="Arial" w:cs="Arial"/>
          <w:b w:val="0"/>
          <w:i w:val="0"/>
          <w:sz w:val="20"/>
        </w:rPr>
        <w:t>1–2 km · 30 min · Easy · Self-guided — Walk the harbour quay past working fish processing plants and colourful murals, then head up to…</w:t>
      </w:r>
    </w:p>
    <w:p>
      <w:pPr>
        <w:pStyle w:val="ListBullet"/>
        <w:spacing w:after="30" w:before="0" w:lineRule="auto" w:line="240"/>
      </w:pPr>
      <w:r>
        <w:rPr>
          <w:rFonts w:ascii="Arial" w:hAnsi="Arial" w:cs="Arial"/>
          <w:b/>
          <w:i w:val="0"/>
          <w:sz w:val="20"/>
        </w:rPr>
        <w:t xml:space="preserve">Skrovnes Lighthouse Trail: </w:t>
      </w:r>
      <w:r>
        <w:rPr>
          <w:rFonts w:ascii="Arial" w:hAnsi="Arial" w:cs="Arial"/>
          <w:b w:val="0"/>
          <w:i w:val="0"/>
          <w:sz w:val="20"/>
        </w:rPr>
        <w:t>~3 km return · 1 hr · Easy · Arctic tundra — An easy out-and-back walk on open tundra leading to the bird hide near Skrovnes.</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Apr</w:t>
            </w:r>
          </w:p>
        </w:tc>
        <w:tc>
          <w:tcPr>
            <w:tcW w:type="dxa" w:w="2628"/>
          </w:tcPr>
          <w:p>
            <w:pPr>
              <w:jc w:val="center"/>
            </w:pPr>
            <w:r>
              <w:rPr>
                <w:rFonts w:ascii="Arial" w:hAnsi="Arial" w:cs="Arial"/>
                <w:b w:val="0"/>
                <w:i w:val="0"/>
                <w:sz w:val="18"/>
              </w:rPr>
              <w:t>34</w:t>
            </w:r>
          </w:p>
        </w:tc>
        <w:tc>
          <w:tcPr>
            <w:tcW w:type="dxa" w:w="2628"/>
          </w:tcPr>
          <w:p>
            <w:pPr>
              <w:jc w:val="center"/>
            </w:pPr>
            <w:r>
              <w:rPr>
                <w:rFonts w:ascii="Arial" w:hAnsi="Arial" w:cs="Arial"/>
                <w:b w:val="0"/>
                <w:i w:val="0"/>
                <w:sz w:val="18"/>
              </w:rPr>
              <w:t>27</w:t>
            </w:r>
          </w:p>
        </w:tc>
        <w:tc>
          <w:tcPr>
            <w:tcW w:type="dxa" w:w="2628"/>
          </w:tcPr>
          <w:p>
            <w:pPr>
              <w:jc w:val="center"/>
            </w:pPr>
            <w:r>
              <w:rPr>
                <w:rFonts w:ascii="Arial" w:hAnsi="Arial" w:cs="Arial"/>
                <w:b w:val="0"/>
                <w:i w:val="0"/>
                <w:sz w:val="18"/>
              </w:rPr>
              <w:t>16</w:t>
            </w:r>
          </w:p>
        </w:tc>
      </w:tr>
      <w:tr>
        <w:tc>
          <w:tcPr>
            <w:tcW w:type="dxa" w:w="2628"/>
          </w:tcPr>
          <w:p>
            <w:pPr>
              <w:jc w:val="center"/>
            </w:pPr>
            <w:r>
              <w:rPr>
                <w:rFonts w:ascii="Arial" w:hAnsi="Arial" w:cs="Arial"/>
                <w:b w:val="0"/>
                <w:i w:val="0"/>
                <w:sz w:val="18"/>
              </w:rPr>
              <w:t>Jun</w:t>
            </w:r>
          </w:p>
        </w:tc>
        <w:tc>
          <w:tcPr>
            <w:tcW w:type="dxa" w:w="2628"/>
          </w:tcPr>
          <w:p>
            <w:pPr>
              <w:jc w:val="center"/>
            </w:pPr>
            <w:r>
              <w:rPr>
                <w:rFonts w:ascii="Arial" w:hAnsi="Arial" w:cs="Arial"/>
                <w:b w:val="0"/>
                <w:i w:val="0"/>
                <w:sz w:val="18"/>
              </w:rPr>
              <w:t>50</w:t>
            </w:r>
          </w:p>
        </w:tc>
        <w:tc>
          <w:tcPr>
            <w:tcW w:type="dxa" w:w="2628"/>
          </w:tcPr>
          <w:p>
            <w:pPr>
              <w:jc w:val="center"/>
            </w:pPr>
            <w:r>
              <w:rPr>
                <w:rFonts w:ascii="Arial" w:hAnsi="Arial" w:cs="Arial"/>
                <w:b w:val="0"/>
                <w:i w:val="0"/>
                <w:sz w:val="18"/>
              </w:rPr>
              <w:t>42</w:t>
            </w:r>
          </w:p>
        </w:tc>
        <w:tc>
          <w:tcPr>
            <w:tcW w:type="dxa" w:w="2628"/>
          </w:tcPr>
          <w:p>
            <w:pPr>
              <w:jc w:val="center"/>
            </w:pPr>
            <w:r>
              <w:rPr>
                <w:rFonts w:ascii="Arial" w:hAnsi="Arial" w:cs="Arial"/>
                <w:b w:val="0"/>
                <w:i w:val="0"/>
                <w:sz w:val="18"/>
              </w:rPr>
              <w:t>16</w:t>
            </w:r>
          </w:p>
        </w:tc>
      </w:tr>
      <w:tr>
        <w:tc>
          <w:tcPr>
            <w:tcW w:type="dxa" w:w="2628"/>
          </w:tcPr>
          <w:p>
            <w:pPr>
              <w:jc w:val="center"/>
            </w:pPr>
            <w:r>
              <w:rPr>
                <w:rFonts w:ascii="Arial" w:hAnsi="Arial" w:cs="Arial"/>
                <w:b w:val="0"/>
                <w:i w:val="0"/>
                <w:sz w:val="18"/>
              </w:rPr>
              <w:t>Aug</w:t>
            </w:r>
          </w:p>
        </w:tc>
        <w:tc>
          <w:tcPr>
            <w:tcW w:type="dxa" w:w="2628"/>
          </w:tcPr>
          <w:p>
            <w:pPr>
              <w:jc w:val="center"/>
            </w:pPr>
            <w:r>
              <w:rPr>
                <w:rFonts w:ascii="Arial" w:hAnsi="Arial" w:cs="Arial"/>
                <w:b w:val="0"/>
                <w:i w:val="0"/>
                <w:sz w:val="18"/>
              </w:rPr>
              <w:t>57</w:t>
            </w:r>
          </w:p>
        </w:tc>
        <w:tc>
          <w:tcPr>
            <w:tcW w:type="dxa" w:w="2628"/>
          </w:tcPr>
          <w:p>
            <w:pPr>
              <w:jc w:val="center"/>
            </w:pPr>
            <w:r>
              <w:rPr>
                <w:rFonts w:ascii="Arial" w:hAnsi="Arial" w:cs="Arial"/>
                <w:b w:val="0"/>
                <w:i w:val="0"/>
                <w:sz w:val="18"/>
              </w:rPr>
              <w:t>48</w:t>
            </w:r>
          </w:p>
        </w:tc>
        <w:tc>
          <w:tcPr>
            <w:tcW w:type="dxa" w:w="2628"/>
          </w:tcPr>
          <w:p>
            <w:pPr>
              <w:jc w:val="center"/>
            </w:pPr>
            <w:r>
              <w:rPr>
                <w:rFonts w:ascii="Arial" w:hAnsi="Arial" w:cs="Arial"/>
                <w:b w:val="0"/>
                <w:i w:val="0"/>
                <w:sz w:val="18"/>
              </w:rPr>
              <w:t>16</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50</w:t>
            </w:r>
          </w:p>
        </w:tc>
        <w:tc>
          <w:tcPr>
            <w:tcW w:type="dxa" w:w="2628"/>
          </w:tcPr>
          <w:p>
            <w:pPr>
              <w:jc w:val="center"/>
            </w:pPr>
            <w:r>
              <w:rPr>
                <w:rFonts w:ascii="Arial" w:hAnsi="Arial" w:cs="Arial"/>
                <w:b w:val="0"/>
                <w:i w:val="0"/>
                <w:sz w:val="18"/>
              </w:rPr>
              <w:t>42</w:t>
            </w:r>
          </w:p>
        </w:tc>
        <w:tc>
          <w:tcPr>
            <w:tcW w:type="dxa" w:w="2628"/>
          </w:tcPr>
          <w:p>
            <w:pPr>
              <w:jc w:val="center"/>
            </w:pPr>
            <w:r>
              <w:rPr>
                <w:rFonts w:ascii="Arial" w:hAnsi="Arial" w:cs="Arial"/>
                <w:b w:val="0"/>
                <w:i w:val="0"/>
                <w:sz w:val="18"/>
              </w:rPr>
              <w:t>14</w:t>
            </w:r>
          </w:p>
        </w:tc>
      </w:tr>
      <w:tr>
        <w:tc>
          <w:tcPr>
            <w:tcW w:type="dxa" w:w="2628"/>
          </w:tcPr>
          <w:p>
            <w:pPr>
              <w:jc w:val="center"/>
            </w:pPr>
            <w:r>
              <w:rPr>
                <w:rFonts w:ascii="Arial" w:hAnsi="Arial" w:cs="Arial"/>
                <w:b w:val="0"/>
                <w:i w:val="0"/>
                <w:sz w:val="18"/>
              </w:rPr>
              <w:t>Oct</w:t>
            </w:r>
          </w:p>
        </w:tc>
        <w:tc>
          <w:tcPr>
            <w:tcW w:type="dxa" w:w="2628"/>
          </w:tcPr>
          <w:p>
            <w:pPr>
              <w:jc w:val="center"/>
            </w:pPr>
            <w:r>
              <w:rPr>
                <w:rFonts w:ascii="Arial" w:hAnsi="Arial" w:cs="Arial"/>
                <w:b w:val="0"/>
                <w:i w:val="0"/>
                <w:sz w:val="18"/>
              </w:rPr>
              <w:t>39</w:t>
            </w:r>
          </w:p>
        </w:tc>
        <w:tc>
          <w:tcPr>
            <w:tcW w:type="dxa" w:w="2628"/>
          </w:tcPr>
          <w:p>
            <w:pPr>
              <w:jc w:val="center"/>
            </w:pPr>
            <w:r>
              <w:rPr>
                <w:rFonts w:ascii="Arial" w:hAnsi="Arial" w:cs="Arial"/>
                <w:b w:val="0"/>
                <w:i w:val="0"/>
                <w:sz w:val="18"/>
              </w:rPr>
              <w:t>32</w:t>
            </w:r>
          </w:p>
        </w:tc>
        <w:tc>
          <w:tcPr>
            <w:tcW w:type="dxa" w:w="2628"/>
          </w:tcPr>
          <w:p>
            <w:pPr>
              <w:jc w:val="center"/>
            </w:pPr>
            <w:r>
              <w:rPr>
                <w:rFonts w:ascii="Arial" w:hAnsi="Arial" w:cs="Arial"/>
                <w:b w:val="0"/>
                <w:i w:val="0"/>
                <w:sz w:val="18"/>
              </w:rPr>
              <w:t>15</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Apr 3:52AM–8:13PM · Sep 5:12AM–6:37PM · Oct 7:18AM–4:13PM</w:t>
      </w:r>
    </w:p>
    <w:p>
      <w:pPr>
        <w:spacing w:after="40" w:before="140" w:lineRule="auto" w:line="240"/>
        <w:pBdr>
          <w:bottom w:val="single" w:sz="6" w:space="1" w:color="b5392f"/>
        </w:pBdr>
      </w:pPr>
      <w:r>
        <w:rPr>
          <w:rFonts w:ascii="Arial" w:hAnsi="Arial" w:cs="Arial"/>
          <w:b/>
          <w:i w:val="0"/>
          <w:color w:val="B5392F"/>
          <w:sz w:val="21"/>
        </w:rPr>
        <w:t>KNOW BEFORE YOU GO</w:t>
      </w:r>
    </w:p>
    <w:p>
      <w:pPr>
        <w:pStyle w:val="ListBullet"/>
        <w:spacing w:after="30" w:before="0" w:lineRule="auto" w:line="240"/>
      </w:pPr>
      <w:r>
        <w:rPr>
          <w:rFonts w:ascii="Arial" w:hAnsi="Arial" w:cs="Arial"/>
          <w:b w:val="0"/>
          <w:i w:val="0"/>
          <w:sz w:val="20"/>
        </w:rPr>
        <w:t>Midnight Sun timing: If your cruise calls between late May and mid-July, the sun never sets — bring an eye mask and enjoy golden-hour light around the clock.</w:t>
      </w:r>
    </w:p>
    <w:p>
      <w:pPr>
        <w:pStyle w:val="ListBullet"/>
        <w:spacing w:after="30" w:before="0" w:lineRule="auto" w:line="240"/>
      </w:pPr>
      <w:r>
        <w:rPr>
          <w:rFonts w:ascii="Arial" w:hAnsi="Arial" w:cs="Arial"/>
          <w:b w:val="0"/>
          <w:i w:val="0"/>
          <w:sz w:val="20"/>
        </w:rPr>
        <w:t>Book before you sail: King crab safaris and RIB bird-cliff tours have small group sizes and sell out well in advance. Pre-book directly with local operators…</w:t>
      </w:r>
    </w:p>
    <w:p>
      <w:pPr>
        <w:pStyle w:val="ListBullet"/>
        <w:spacing w:after="30" w:before="0" w:lineRule="auto" w:line="240"/>
      </w:pPr>
      <w:r>
        <w:rPr>
          <w:rFonts w:ascii="Arial" w:hAnsi="Arial" w:cs="Arial"/>
          <w:b w:val="0"/>
          <w:i w:val="0"/>
          <w:sz w:val="20"/>
        </w:rPr>
        <w:t>Dress for Arctic conditions: Even in summer, Båtsfjord can be cold and windy. Bring a windproof layer and waterproofs regardless of the forecast — weather…</w:t>
      </w:r>
    </w:p>
    <w:p>
      <w:pPr>
        <w:spacing w:after="40" w:before="120" w:lineRule="auto" w:line="240"/>
      </w:pPr>
      <w:r>
        <w:rPr>
          <w:rFonts w:ascii="Arial" w:hAnsi="Arial" w:cs="Arial"/>
          <w:b w:val="0"/>
          <w:i w:val="0"/>
          <w:color w:val="5B6470"/>
          <w:sz w:val="16"/>
        </w:rPr>
        <w:t>cruiseports.org/batsfjord · Confirm terminal &amp; all-aboard time with your ship</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